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2A" w:rsidRDefault="00374B2A" w:rsidP="00E60E88">
      <w:pPr>
        <w:rPr>
          <w:sz w:val="28"/>
          <w:szCs w:val="28"/>
          <w:u w:val="single"/>
        </w:rPr>
      </w:pPr>
    </w:p>
    <w:p w:rsidR="00374B2A" w:rsidRPr="00374B2A" w:rsidRDefault="00374B2A" w:rsidP="00374B2A">
      <w:pPr>
        <w:pBdr>
          <w:top w:val="dotted" w:sz="2" w:space="1" w:color="475A60"/>
          <w:bottom w:val="dotted" w:sz="2" w:space="6" w:color="475A60"/>
        </w:pBdr>
        <w:spacing w:before="500" w:after="300" w:line="240" w:lineRule="auto"/>
        <w:jc w:val="center"/>
        <w:rPr>
          <w:rFonts w:ascii="Gill Sans MT" w:eastAsia="Times New Roman" w:hAnsi="Gill Sans MT" w:cs="Times New Roman"/>
          <w:caps/>
          <w:color w:val="475A60"/>
          <w:spacing w:val="50"/>
          <w:sz w:val="44"/>
          <w:szCs w:val="44"/>
        </w:rPr>
      </w:pPr>
      <w:r>
        <w:rPr>
          <w:rFonts w:ascii="Gill Sans MT" w:eastAsia="Times New Roman" w:hAnsi="Gill Sans MT" w:cs="Times New Roman"/>
          <w:caps/>
          <w:color w:val="475A60"/>
          <w:spacing w:val="50"/>
          <w:sz w:val="44"/>
          <w:szCs w:val="44"/>
        </w:rPr>
        <w:t>LIVE WEBINAR</w:t>
      </w:r>
      <w:r w:rsidRPr="00374B2A">
        <w:rPr>
          <w:rFonts w:ascii="Gill Sans MT" w:eastAsia="Times New Roman" w:hAnsi="Gill Sans MT" w:cs="Times New Roman"/>
          <w:caps/>
          <w:color w:val="475A60"/>
          <w:spacing w:val="50"/>
          <w:sz w:val="44"/>
          <w:szCs w:val="44"/>
        </w:rPr>
        <w:t xml:space="preserve"> ceu Topics</w:t>
      </w:r>
    </w:p>
    <w:p w:rsidR="00374B2A" w:rsidRPr="00374B2A" w:rsidRDefault="00374B2A" w:rsidP="00374B2A">
      <w:pPr>
        <w:spacing w:after="560" w:line="240" w:lineRule="auto"/>
        <w:jc w:val="center"/>
        <w:rPr>
          <w:rFonts w:ascii="Gill Sans MT" w:eastAsia="Times New Roman" w:hAnsi="Gill Sans MT" w:cs="Times New Roman"/>
          <w:caps/>
          <w:spacing w:val="20"/>
          <w:sz w:val="18"/>
          <w:szCs w:val="18"/>
        </w:rPr>
      </w:pPr>
      <w:r w:rsidRPr="00374B2A">
        <w:rPr>
          <w:rFonts w:ascii="Gill Sans MT" w:eastAsia="Times New Roman" w:hAnsi="Gill Sans MT" w:cs="Times New Roman"/>
          <w:caps/>
          <w:spacing w:val="20"/>
          <w:sz w:val="18"/>
          <w:szCs w:val="18"/>
        </w:rPr>
        <w:t>Certified for RN’s, SW’s, CCM’s, ACM’s and LPC’s</w:t>
      </w:r>
      <w:r>
        <w:rPr>
          <w:rFonts w:ascii="Gill Sans MT" w:eastAsia="Times New Roman" w:hAnsi="Gill Sans MT" w:cs="Times New Roman"/>
          <w:caps/>
          <w:spacing w:val="20"/>
          <w:sz w:val="18"/>
          <w:szCs w:val="18"/>
        </w:rPr>
        <w:br/>
        <w:t>1.0 ce Credit each</w:t>
      </w:r>
    </w:p>
    <w:p w:rsidR="00374B2A" w:rsidRPr="00374B2A" w:rsidRDefault="00374B2A" w:rsidP="00374B2A">
      <w:pPr>
        <w:spacing w:after="560" w:line="240" w:lineRule="auto"/>
        <w:jc w:val="center"/>
        <w:rPr>
          <w:rFonts w:ascii="Gill Sans MT" w:eastAsia="Times New Roman" w:hAnsi="Gill Sans MT" w:cs="Times New Roman"/>
          <w:b/>
          <w:caps/>
          <w:spacing w:val="20"/>
          <w:sz w:val="18"/>
          <w:szCs w:val="18"/>
        </w:rPr>
      </w:pPr>
      <w:r w:rsidRPr="00374B2A">
        <w:rPr>
          <w:rFonts w:ascii="Gill Sans MT" w:eastAsia="Times New Roman" w:hAnsi="Gill Sans MT" w:cs="Times New Roman"/>
          <w:caps/>
          <w:spacing w:val="20"/>
          <w:sz w:val="18"/>
          <w:szCs w:val="18"/>
        </w:rPr>
        <w:t>www.hiscornerstone.com</w:t>
      </w:r>
    </w:p>
    <w:p w:rsidR="00374B2A" w:rsidRPr="00374B2A" w:rsidRDefault="00374B2A" w:rsidP="00374B2A">
      <w:pPr>
        <w:spacing w:after="0" w:line="240" w:lineRule="auto"/>
        <w:jc w:val="center"/>
        <w:rPr>
          <w:rFonts w:ascii="Calibri" w:eastAsia="Times New Roman" w:hAnsi="Calibri" w:cs="Calibri"/>
          <w:i/>
          <w:iCs/>
          <w:sz w:val="18"/>
          <w:szCs w:val="18"/>
        </w:rPr>
      </w:pPr>
      <w:r w:rsidRPr="00374B2A">
        <w:rPr>
          <w:rFonts w:ascii="Calibri" w:eastAsia="Times New Roman" w:hAnsi="Calibri" w:cs="Calibri"/>
          <w:i/>
          <w:iCs/>
          <w:sz w:val="18"/>
          <w:szCs w:val="18"/>
        </w:rPr>
        <w:t xml:space="preserve">H.I.S. Cornerstone is approved as a provider of nursing continuing professional development by Louisiana State Nurses Association, an accredited approver by the American Nurses Credentialing Center’s Commission on Accreditation.  All </w:t>
      </w:r>
      <w:r>
        <w:rPr>
          <w:rFonts w:ascii="Calibri" w:eastAsia="Times New Roman" w:hAnsi="Calibri" w:cs="Calibri"/>
          <w:i/>
          <w:iCs/>
          <w:sz w:val="18"/>
          <w:szCs w:val="18"/>
        </w:rPr>
        <w:t>activities meet the Texas Behavioral Health Executive Council</w:t>
      </w:r>
      <w:bookmarkStart w:id="0" w:name="_GoBack"/>
      <w:bookmarkEnd w:id="0"/>
      <w:r w:rsidRPr="00374B2A">
        <w:rPr>
          <w:rFonts w:ascii="Calibri" w:eastAsia="Times New Roman" w:hAnsi="Calibri" w:cs="Calibri"/>
          <w:i/>
          <w:iCs/>
          <w:sz w:val="18"/>
          <w:szCs w:val="18"/>
        </w:rPr>
        <w:t>, Commission for Case Manager Certification, and American Case Manager Association CE criteria.</w:t>
      </w:r>
    </w:p>
    <w:p w:rsidR="00374B2A" w:rsidRDefault="00374B2A" w:rsidP="00E60E88">
      <w:pPr>
        <w:rPr>
          <w:sz w:val="28"/>
          <w:szCs w:val="28"/>
          <w:u w:val="single"/>
        </w:rPr>
      </w:pPr>
    </w:p>
    <w:p w:rsidR="00E60E88" w:rsidRPr="00E60E88" w:rsidRDefault="00E60E88" w:rsidP="00E60E88">
      <w:pPr>
        <w:rPr>
          <w:sz w:val="28"/>
          <w:szCs w:val="28"/>
          <w:u w:val="single"/>
        </w:rPr>
      </w:pPr>
      <w:r w:rsidRPr="00E60E88">
        <w:rPr>
          <w:sz w:val="28"/>
          <w:szCs w:val="28"/>
          <w:u w:val="single"/>
        </w:rPr>
        <w:t>Ethics</w:t>
      </w:r>
    </w:p>
    <w:p w:rsidR="00E60E88" w:rsidRPr="00E60E88" w:rsidRDefault="00E60E88" w:rsidP="00E60E88">
      <w:pPr>
        <w:rPr>
          <w:b/>
          <w:bCs/>
        </w:rPr>
      </w:pPr>
      <w:proofErr w:type="gramStart"/>
      <w:r w:rsidRPr="00E60E88">
        <w:rPr>
          <w:b/>
          <w:bCs/>
        </w:rPr>
        <w:t>•  Alzheimer’s</w:t>
      </w:r>
      <w:proofErr w:type="gramEnd"/>
      <w:r w:rsidRPr="00E60E88">
        <w:rPr>
          <w:b/>
          <w:bCs/>
        </w:rPr>
        <w:t xml:space="preserve"> Disease Present and Future:  Ethical Strategies for Prevention, Detection, and Treatment</w:t>
      </w:r>
    </w:p>
    <w:p w:rsidR="00E60E88" w:rsidRPr="00E60E88" w:rsidRDefault="00E60E88" w:rsidP="00E60E88">
      <w:pPr>
        <w:rPr>
          <w:i/>
        </w:rPr>
      </w:pPr>
      <w:r w:rsidRPr="00E60E88">
        <w:rPr>
          <w:i/>
        </w:rPr>
        <w:t xml:space="preserve">An estimated 5.2 million Americans of all ages have </w:t>
      </w:r>
      <w:proofErr w:type="gramStart"/>
      <w:r w:rsidRPr="00E60E88">
        <w:rPr>
          <w:i/>
        </w:rPr>
        <w:t>Alzheimer’s Disease</w:t>
      </w:r>
      <w:proofErr w:type="gramEnd"/>
      <w:r w:rsidRPr="00E60E88">
        <w:rPr>
          <w:i/>
        </w:rPr>
        <w:t xml:space="preserve">, and by 2050 this disease is expected to cost the nation $1.3 trillion a year.  Explores the latest research on how to prevent </w:t>
      </w:r>
      <w:proofErr w:type="gramStart"/>
      <w:r w:rsidRPr="00E60E88">
        <w:rPr>
          <w:i/>
        </w:rPr>
        <w:t>Alzheimer’s Disease</w:t>
      </w:r>
      <w:proofErr w:type="gramEnd"/>
      <w:r w:rsidRPr="00E60E88">
        <w:rPr>
          <w:i/>
        </w:rPr>
        <w:t xml:space="preserve">, how to detect warning signs and symptoms, and how to assess the appropriate treatment and care for the Alzheimer’s patient. </w:t>
      </w:r>
    </w:p>
    <w:p w:rsidR="00E60E88" w:rsidRPr="00E60E88" w:rsidRDefault="00E60E88" w:rsidP="00E60E88">
      <w:pPr>
        <w:rPr>
          <w:b/>
        </w:rPr>
      </w:pPr>
      <w:r w:rsidRPr="00E60E88">
        <w:rPr>
          <w:b/>
        </w:rPr>
        <w:t>• Confronting the Growing Problem of Elder Abuse:  The Healthcare Professional’s Role</w:t>
      </w:r>
    </w:p>
    <w:p w:rsidR="00E60E88" w:rsidRPr="00E60E88" w:rsidRDefault="00E60E88" w:rsidP="00E60E88">
      <w:pPr>
        <w:rPr>
          <w:i/>
        </w:rPr>
      </w:pPr>
      <w:r w:rsidRPr="00E60E88">
        <w:rPr>
          <w:i/>
        </w:rPr>
        <w:t>According to the World Health Organization, “Elder abuse is a violation of human rights, and a significant cause of illness, injury, loss of productivity, isolation and despair,” yet approximately six million elders were abused last year (9.5% of the population).   Defines elder abuse and neglect and outlines the professional’s responsibility in preventing, detecting, and reporting.</w:t>
      </w:r>
    </w:p>
    <w:p w:rsidR="00E60E88" w:rsidRPr="00E60E88" w:rsidRDefault="00E60E88" w:rsidP="00E60E88">
      <w:pPr>
        <w:rPr>
          <w:b/>
          <w:bCs/>
        </w:rPr>
      </w:pPr>
      <w:proofErr w:type="gramStart"/>
      <w:r w:rsidRPr="00E60E88">
        <w:rPr>
          <w:b/>
          <w:bCs/>
        </w:rPr>
        <w:t>•  Ethical</w:t>
      </w:r>
      <w:proofErr w:type="gramEnd"/>
      <w:r w:rsidRPr="00E60E88">
        <w:rPr>
          <w:b/>
          <w:bCs/>
        </w:rPr>
        <w:t xml:space="preserve"> Issues with Alzheimer’s Disease:  Exploring End-of-Life Considerations for Patients and Families </w:t>
      </w:r>
    </w:p>
    <w:p w:rsidR="00E60E88" w:rsidRPr="00E60E88" w:rsidRDefault="00E60E88" w:rsidP="00E60E88">
      <w:pPr>
        <w:rPr>
          <w:i/>
        </w:rPr>
      </w:pPr>
      <w:r w:rsidRPr="00E60E88">
        <w:rPr>
          <w:i/>
        </w:rPr>
        <w:t>Explores the ethical decisions that must be made as the Alzheimer’s patient approaches the end stages of the disease and encourages healthcare professionals to take a more active role in helping families make emotional care choices.</w:t>
      </w:r>
    </w:p>
    <w:p w:rsidR="00E60E88" w:rsidRPr="00E60E88" w:rsidRDefault="00E60E88" w:rsidP="00E60E88">
      <w:pPr>
        <w:rPr>
          <w:b/>
          <w:bCs/>
        </w:rPr>
      </w:pPr>
      <w:proofErr w:type="gramStart"/>
      <w:r w:rsidRPr="00E60E88">
        <w:rPr>
          <w:b/>
          <w:bCs/>
        </w:rPr>
        <w:t>•  Ethical</w:t>
      </w:r>
      <w:proofErr w:type="gramEnd"/>
      <w:r w:rsidRPr="00E60E88">
        <w:rPr>
          <w:b/>
          <w:bCs/>
        </w:rPr>
        <w:t xml:space="preserve"> Leadership:  The Healthcare Professional's Duty in an Ever-Changing World </w:t>
      </w:r>
    </w:p>
    <w:p w:rsidR="00E60E88" w:rsidRPr="00E60E88" w:rsidRDefault="00E60E88" w:rsidP="00E60E88">
      <w:pPr>
        <w:rPr>
          <w:bCs/>
          <w:i/>
          <w:iCs/>
        </w:rPr>
      </w:pPr>
      <w:r w:rsidRPr="00E60E88">
        <w:rPr>
          <w:bCs/>
          <w:i/>
          <w:iCs/>
        </w:rPr>
        <w:t>Review ethical principles, values, and standards while discussing ethical dilemmas facing the elderly population today (i.e. end of life issues, sexuality, substance abuse, confidentiality).</w:t>
      </w:r>
    </w:p>
    <w:p w:rsidR="00E60E88" w:rsidRPr="00E60E88" w:rsidRDefault="00E60E88" w:rsidP="00E60E88">
      <w:pPr>
        <w:rPr>
          <w:b/>
        </w:rPr>
      </w:pPr>
      <w:r w:rsidRPr="00E60E88">
        <w:rPr>
          <w:b/>
        </w:rPr>
        <w:t>• Ethical Considerations in Healthcare Provision:  Patient Referrals, Medicare Fraud, and Excessive Spending </w:t>
      </w:r>
    </w:p>
    <w:p w:rsidR="00E60E88" w:rsidRDefault="00E60E88" w:rsidP="00E60E88">
      <w:pPr>
        <w:rPr>
          <w:i/>
        </w:rPr>
      </w:pPr>
      <w:r w:rsidRPr="00E60E88">
        <w:rPr>
          <w:i/>
        </w:rPr>
        <w:t>Addresses the growing concern regarding unethical patient referrals, "kickback" activities, fraudulent billing practices, and waste of healthcare dollars on unnecessary and/or duplicate diagnostic procedures.</w:t>
      </w:r>
    </w:p>
    <w:p w:rsidR="00374B2A" w:rsidRPr="00E60E88" w:rsidRDefault="00374B2A" w:rsidP="00E60E88">
      <w:pPr>
        <w:rPr>
          <w:i/>
        </w:rPr>
      </w:pPr>
    </w:p>
    <w:p w:rsidR="00E60E88" w:rsidRPr="00E60E88" w:rsidRDefault="00E60E88" w:rsidP="00E60E88">
      <w:pPr>
        <w:rPr>
          <w:i/>
        </w:rPr>
      </w:pPr>
      <w:proofErr w:type="gramStart"/>
      <w:r w:rsidRPr="00E60E88">
        <w:rPr>
          <w:b/>
          <w:i/>
        </w:rPr>
        <w:lastRenderedPageBreak/>
        <w:t xml:space="preserve">•  </w:t>
      </w:r>
      <w:r w:rsidRPr="00E60E88">
        <w:rPr>
          <w:b/>
        </w:rPr>
        <w:t>Palliative</w:t>
      </w:r>
      <w:proofErr w:type="gramEnd"/>
      <w:r w:rsidRPr="00E60E88">
        <w:rPr>
          <w:b/>
        </w:rPr>
        <w:t xml:space="preserve"> and Hospice Care: Helping Patients Navigate End-of-Life Treatment Decisions</w:t>
      </w:r>
    </w:p>
    <w:p w:rsidR="00E60E88" w:rsidRPr="00E60E88" w:rsidRDefault="00E60E88" w:rsidP="00E60E88">
      <w:pPr>
        <w:rPr>
          <w:i/>
        </w:rPr>
      </w:pPr>
      <w:r w:rsidRPr="00E60E88">
        <w:rPr>
          <w:i/>
        </w:rPr>
        <w:t>Provides information and resources regarding palliative and hospice care so that healthcare professionals can assist their elderly patients in evaluating care options.</w:t>
      </w:r>
    </w:p>
    <w:p w:rsidR="00E60E88" w:rsidRPr="00E60E88" w:rsidRDefault="00E60E88" w:rsidP="00E60E88">
      <w:pPr>
        <w:rPr>
          <w:i/>
        </w:rPr>
      </w:pPr>
      <w:r w:rsidRPr="00E60E88">
        <w:rPr>
          <w:b/>
        </w:rPr>
        <w:t>• Providing Person-Centered Care Through the Use of Love Languages:  An Ethical Approach</w:t>
      </w:r>
    </w:p>
    <w:p w:rsidR="00E60E88" w:rsidRPr="00E60E88" w:rsidRDefault="00E60E88" w:rsidP="00E60E88">
      <w:pPr>
        <w:rPr>
          <w:i/>
        </w:rPr>
      </w:pPr>
      <w:r w:rsidRPr="00E60E88">
        <w:rPr>
          <w:i/>
        </w:rPr>
        <w:t>Encourages healthcare professionals to provide patient-centered care and to educate famil</w:t>
      </w:r>
      <w:r>
        <w:rPr>
          <w:i/>
        </w:rPr>
        <w:t>y caregivers to do the same through</w:t>
      </w:r>
      <w:r w:rsidRPr="00E60E88">
        <w:rPr>
          <w:i/>
        </w:rPr>
        <w:t xml:space="preserve"> the concept of Love Languages.</w:t>
      </w:r>
      <w:r w:rsidRPr="00E60E88">
        <w:rPr>
          <w:i/>
        </w:rPr>
        <w:tab/>
      </w:r>
    </w:p>
    <w:p w:rsidR="00E60E88" w:rsidRPr="00E60E88" w:rsidRDefault="00E60E88" w:rsidP="00E60E88">
      <w:pPr>
        <w:rPr>
          <w:b/>
          <w:bCs/>
        </w:rPr>
      </w:pPr>
      <w:r w:rsidRPr="00E60E88">
        <w:rPr>
          <w:b/>
          <w:bCs/>
        </w:rPr>
        <w:t>•</w:t>
      </w:r>
      <w:proofErr w:type="gramStart"/>
      <w:r w:rsidRPr="00E60E88">
        <w:rPr>
          <w:b/>
          <w:bCs/>
        </w:rPr>
        <w:t>  Recognizing</w:t>
      </w:r>
      <w:proofErr w:type="gramEnd"/>
      <w:r w:rsidRPr="00E60E88">
        <w:rPr>
          <w:b/>
          <w:bCs/>
        </w:rPr>
        <w:t xml:space="preserve"> Cultural Diversity: Ethical Issues in Caring for the Elderly</w:t>
      </w:r>
    </w:p>
    <w:p w:rsidR="00E60E88" w:rsidRPr="00E60E88" w:rsidRDefault="00E60E88" w:rsidP="00E60E88">
      <w:pPr>
        <w:rPr>
          <w:i/>
        </w:rPr>
      </w:pPr>
      <w:r w:rsidRPr="00E60E88">
        <w:rPr>
          <w:i/>
        </w:rPr>
        <w:t>Discusses how healthcare professionals should adapt interventions to meet the cultural needs and preferences (ethnic and religious belief, values, and practices) of a diverse elderly population.</w:t>
      </w:r>
    </w:p>
    <w:p w:rsidR="00E60E88" w:rsidRPr="00E60E88" w:rsidRDefault="00E60E88" w:rsidP="00E60E88">
      <w:pPr>
        <w:rPr>
          <w:b/>
        </w:rPr>
      </w:pPr>
      <w:r w:rsidRPr="00E60E88">
        <w:rPr>
          <w:b/>
        </w:rPr>
        <w:t>• Spirituality in Healthcare:  An Ethical Approach to Caring for Patients</w:t>
      </w:r>
    </w:p>
    <w:p w:rsidR="00374B2A" w:rsidRPr="00E60E88" w:rsidRDefault="00E60E88" w:rsidP="00E60E88">
      <w:pPr>
        <w:rPr>
          <w:i/>
        </w:rPr>
      </w:pPr>
      <w:r w:rsidRPr="00E60E88">
        <w:rPr>
          <w:i/>
        </w:rPr>
        <w:t>Explores the latest research connecting spirituality and patient care outcomes.  Professional and ethical issues will be addressed.</w:t>
      </w:r>
    </w:p>
    <w:p w:rsidR="00E60E88" w:rsidRPr="00E60E88" w:rsidRDefault="00E60E88" w:rsidP="00E60E88">
      <w:pPr>
        <w:rPr>
          <w:b/>
        </w:rPr>
      </w:pPr>
      <w:r w:rsidRPr="00E60E88">
        <w:rPr>
          <w:b/>
        </w:rPr>
        <w:t>• </w:t>
      </w:r>
      <w:r w:rsidRPr="00E60E88">
        <w:rPr>
          <w:b/>
          <w:bCs/>
        </w:rPr>
        <w:t>Treating Patient Emotions:  What is the Healthcare Professional's Ethical Responsibility?</w:t>
      </w:r>
    </w:p>
    <w:p w:rsidR="00E60E88" w:rsidRPr="00E60E88" w:rsidRDefault="00E60E88" w:rsidP="00E60E88">
      <w:pPr>
        <w:rPr>
          <w:i/>
        </w:rPr>
      </w:pPr>
      <w:r w:rsidRPr="00E60E88">
        <w:rPr>
          <w:i/>
        </w:rPr>
        <w:t>Discusses the importance of patient emotions as it relates to healthcare and describes best practices and skill sets to provide emotionally-competent patient care.</w:t>
      </w:r>
    </w:p>
    <w:p w:rsidR="00E60E88" w:rsidRDefault="00E60E88" w:rsidP="00E60E88">
      <w:pPr>
        <w:rPr>
          <w:sz w:val="28"/>
          <w:szCs w:val="28"/>
          <w:u w:val="single"/>
        </w:rPr>
      </w:pPr>
    </w:p>
    <w:p w:rsidR="00E60E88" w:rsidRPr="00E60E88" w:rsidRDefault="00E60E88" w:rsidP="00E60E88">
      <w:pPr>
        <w:rPr>
          <w:sz w:val="28"/>
          <w:szCs w:val="28"/>
          <w:u w:val="single"/>
        </w:rPr>
      </w:pPr>
      <w:r w:rsidRPr="00E60E88">
        <w:rPr>
          <w:sz w:val="28"/>
          <w:szCs w:val="28"/>
          <w:u w:val="single"/>
        </w:rPr>
        <w:t>Additional Relevant Topics</w:t>
      </w:r>
    </w:p>
    <w:p w:rsidR="00E60E88" w:rsidRPr="00E60E88" w:rsidRDefault="00E60E88" w:rsidP="00E60E88">
      <w:r w:rsidRPr="00E60E88">
        <w:rPr>
          <w:b/>
          <w:bCs/>
        </w:rPr>
        <w:t xml:space="preserve">• The Benefits of Humor in Healthcare:  Laughter is </w:t>
      </w:r>
      <w:proofErr w:type="gramStart"/>
      <w:r w:rsidRPr="00E60E88">
        <w:rPr>
          <w:b/>
          <w:bCs/>
        </w:rPr>
        <w:t>Good</w:t>
      </w:r>
      <w:proofErr w:type="gramEnd"/>
      <w:r w:rsidRPr="00E60E88">
        <w:rPr>
          <w:b/>
          <w:bCs/>
        </w:rPr>
        <w:t xml:space="preserve"> for the Heart </w:t>
      </w:r>
    </w:p>
    <w:p w:rsidR="00E60E88" w:rsidRPr="00E60E88" w:rsidRDefault="00E60E88" w:rsidP="00E60E88">
      <w:r w:rsidRPr="00E60E88">
        <w:rPr>
          <w:i/>
          <w:iCs/>
        </w:rPr>
        <w:t>Explores the scientific research concerning laughter’s effect on the body and translates this into practical ways the patient can utilize humor to improve physical and emotional care outcomes.</w:t>
      </w:r>
    </w:p>
    <w:p w:rsidR="00E60E88" w:rsidRPr="00E60E88" w:rsidRDefault="00E60E88" w:rsidP="00E60E88">
      <w:pPr>
        <w:rPr>
          <w:b/>
          <w:bCs/>
        </w:rPr>
      </w:pPr>
      <w:r w:rsidRPr="00E60E88">
        <w:rPr>
          <w:b/>
          <w:bCs/>
        </w:rPr>
        <w:t>•</w:t>
      </w:r>
      <w:proofErr w:type="gramStart"/>
      <w:r w:rsidRPr="00E60E88">
        <w:rPr>
          <w:b/>
          <w:bCs/>
        </w:rPr>
        <w:t>  Health</w:t>
      </w:r>
      <w:proofErr w:type="gramEnd"/>
      <w:r w:rsidRPr="00E60E88">
        <w:rPr>
          <w:b/>
          <w:bCs/>
        </w:rPr>
        <w:t xml:space="preserve"> Literacy:  Do Your Patients Really Understand Their Medical Treatment Plan?</w:t>
      </w:r>
    </w:p>
    <w:p w:rsidR="00E60E88" w:rsidRPr="00E60E88" w:rsidRDefault="00E60E88" w:rsidP="00E60E88">
      <w:pPr>
        <w:rPr>
          <w:b/>
          <w:bCs/>
        </w:rPr>
      </w:pPr>
      <w:r w:rsidRPr="00E60E88">
        <w:rPr>
          <w:i/>
        </w:rPr>
        <w:t xml:space="preserve">Addresses one of the most pervasive and under-recognized problem in medicine:  Low levels of health literacy (the ability to obtain, understand, and use health information).  Changes in the Joint Commission regulations, the Plain Writing Act, and the National Action Plan to Improve Health Literacy will be discussed along with success stories regarding reduced </w:t>
      </w:r>
      <w:proofErr w:type="spellStart"/>
      <w:r w:rsidRPr="00E60E88">
        <w:rPr>
          <w:i/>
        </w:rPr>
        <w:t>rehospitalizations</w:t>
      </w:r>
      <w:proofErr w:type="spellEnd"/>
      <w:r w:rsidRPr="00E60E88">
        <w:rPr>
          <w:i/>
        </w:rPr>
        <w:t xml:space="preserve"> and patient compliance.</w:t>
      </w:r>
    </w:p>
    <w:p w:rsidR="00E60E88" w:rsidRPr="00E60E88" w:rsidRDefault="00E60E88" w:rsidP="00E60E88">
      <w:pPr>
        <w:rPr>
          <w:b/>
          <w:bCs/>
        </w:rPr>
      </w:pPr>
      <w:r w:rsidRPr="00E60E88">
        <w:rPr>
          <w:b/>
          <w:bCs/>
        </w:rPr>
        <w:t>•</w:t>
      </w:r>
      <w:proofErr w:type="gramStart"/>
      <w:r w:rsidRPr="00E60E88">
        <w:rPr>
          <w:b/>
          <w:bCs/>
        </w:rPr>
        <w:t>  How</w:t>
      </w:r>
      <w:proofErr w:type="gramEnd"/>
      <w:r w:rsidRPr="00E60E88">
        <w:rPr>
          <w:b/>
          <w:bCs/>
        </w:rPr>
        <w:t xml:space="preserve"> Healthcare Professionals Lead During a Pandemic: The Power of Positivity</w:t>
      </w:r>
    </w:p>
    <w:p w:rsidR="00E60E88" w:rsidRPr="00E60E88" w:rsidRDefault="00E60E88" w:rsidP="00E60E88">
      <w:pPr>
        <w:rPr>
          <w:i/>
        </w:rPr>
      </w:pPr>
      <w:r w:rsidRPr="00E60E88">
        <w:rPr>
          <w:i/>
        </w:rPr>
        <w:t>Illustrates the powerful effect that the healthcare professionals’ positive outlook can have on patient, caregivers, co-workers, and themselves.</w:t>
      </w:r>
    </w:p>
    <w:p w:rsidR="00E60E88" w:rsidRPr="00E60E88" w:rsidRDefault="00E60E88" w:rsidP="00E60E88">
      <w:pPr>
        <w:rPr>
          <w:b/>
        </w:rPr>
      </w:pPr>
      <w:r w:rsidRPr="00E60E88">
        <w:rPr>
          <w:b/>
        </w:rPr>
        <w:t xml:space="preserve">• How Patients Define Quality of Life:  Little Things Make a Difference </w:t>
      </w:r>
    </w:p>
    <w:p w:rsidR="00E60E88" w:rsidRPr="00E60E88" w:rsidRDefault="00E60E88" w:rsidP="00E60E88">
      <w:pPr>
        <w:rPr>
          <w:i/>
        </w:rPr>
      </w:pPr>
      <w:r w:rsidRPr="00E60E88">
        <w:rPr>
          <w:i/>
        </w:rPr>
        <w:t>Focuses on quality of life issues for healthcare professionals and how that translates into providing more personalized care for their patients.</w:t>
      </w:r>
    </w:p>
    <w:p w:rsidR="00E60E88" w:rsidRPr="00E60E88" w:rsidRDefault="00E60E88" w:rsidP="00E60E88">
      <w:pPr>
        <w:rPr>
          <w:b/>
        </w:rPr>
      </w:pPr>
      <w:r w:rsidRPr="00E60E88">
        <w:rPr>
          <w:b/>
        </w:rPr>
        <w:t>• Scams and Shams:  The Top 10 Financial Fraud Schemes Targeting Seniors</w:t>
      </w:r>
    </w:p>
    <w:p w:rsidR="0067728B" w:rsidRPr="00374B2A" w:rsidRDefault="00E60E88">
      <w:pPr>
        <w:rPr>
          <w:i/>
        </w:rPr>
      </w:pPr>
      <w:r w:rsidRPr="00E60E88">
        <w:rPr>
          <w:i/>
        </w:rPr>
        <w:t>Reviews the epidemic in society today - taking advantage of vulnerable seniors.  Prevention programs designed by AARP, the FBI, and the National Council on Aging will be discussed.</w:t>
      </w:r>
    </w:p>
    <w:sectPr w:rsidR="0067728B" w:rsidRPr="00374B2A" w:rsidSect="00F417D8">
      <w:headerReference w:type="default" r:id="rId6"/>
      <w:footerReference w:type="even" r:id="rId7"/>
      <w:footerReference w:type="default" r:id="rId8"/>
      <w:headerReference w:type="first" r:id="rId9"/>
      <w:footerReference w:type="first" r:id="rId10"/>
      <w:pgSz w:w="12240" w:h="15840"/>
      <w:pgMar w:top="1008" w:right="1080" w:bottom="1008"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EA" w:rsidRDefault="00692CEA">
      <w:pPr>
        <w:spacing w:after="0" w:line="240" w:lineRule="auto"/>
      </w:pPr>
      <w:r>
        <w:separator/>
      </w:r>
    </w:p>
  </w:endnote>
  <w:endnote w:type="continuationSeparator" w:id="0">
    <w:p w:rsidR="00692CEA" w:rsidRDefault="0069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Segoe UI"/>
    <w:charset w:val="4D"/>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CC" w:rsidRDefault="00E60E88" w:rsidP="003901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8CC" w:rsidRDefault="00692CEA" w:rsidP="003901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CC" w:rsidRPr="00BB4DAA" w:rsidRDefault="00E60E88" w:rsidP="00390126">
    <w:pPr>
      <w:pStyle w:val="Footer"/>
      <w:framePr w:wrap="around" w:vAnchor="text" w:hAnchor="margin" w:xAlign="right" w:y="1"/>
      <w:rPr>
        <w:rStyle w:val="PageNumber"/>
      </w:rPr>
    </w:pPr>
    <w:r w:rsidRPr="00BB4DAA">
      <w:rPr>
        <w:rStyle w:val="PageNumber"/>
      </w:rPr>
      <w:fldChar w:fldCharType="begin"/>
    </w:r>
    <w:r w:rsidRPr="00BB4DAA">
      <w:rPr>
        <w:rStyle w:val="PageNumber"/>
      </w:rPr>
      <w:instrText xml:space="preserve">PAGE  </w:instrText>
    </w:r>
    <w:r w:rsidRPr="00BB4DAA">
      <w:rPr>
        <w:rStyle w:val="PageNumber"/>
      </w:rPr>
      <w:fldChar w:fldCharType="separate"/>
    </w:r>
    <w:r w:rsidR="00374B2A">
      <w:rPr>
        <w:rStyle w:val="PageNumber"/>
        <w:noProof/>
      </w:rPr>
      <w:t>2</w:t>
    </w:r>
    <w:r w:rsidRPr="00BB4DAA">
      <w:rPr>
        <w:rStyle w:val="PageNumber"/>
      </w:rPr>
      <w:fldChar w:fldCharType="end"/>
    </w:r>
  </w:p>
  <w:p w:rsidR="00B778CC" w:rsidRPr="00615E90" w:rsidRDefault="00E60E88" w:rsidP="00615E90">
    <w:pPr>
      <w:pStyle w:val="Subtitle"/>
      <w:ind w:right="360"/>
      <w:rPr>
        <w:color w:val="323E4F" w:themeColor="text2" w:themeShade="BF"/>
      </w:rPr>
    </w:pPr>
    <w:r w:rsidRPr="00615E90">
      <w:rPr>
        <w:color w:val="323E4F" w:themeColor="text2" w:themeShade="BF"/>
      </w:rPr>
      <w:t>www.hiscornerstone.com</w:t>
    </w:r>
    <w:r w:rsidRPr="00574D6F">
      <w:rPr>
        <w:rFonts w:ascii="Cambria" w:hAnsi="Cambria"/>
        <w:color w:val="1479F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3843648"/>
      <w:docPartObj>
        <w:docPartGallery w:val="Page Numbers (Bottom of Page)"/>
        <w:docPartUnique/>
      </w:docPartObj>
    </w:sdtPr>
    <w:sdtEndPr>
      <w:rPr>
        <w:rStyle w:val="PageNumber"/>
      </w:rPr>
    </w:sdtEndPr>
    <w:sdtContent>
      <w:p w:rsidR="006A6239" w:rsidRDefault="00E60E88" w:rsidP="00FC4A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74B2A">
          <w:rPr>
            <w:rStyle w:val="PageNumber"/>
            <w:noProof/>
          </w:rPr>
          <w:t>1</w:t>
        </w:r>
        <w:r>
          <w:rPr>
            <w:rStyle w:val="PageNumber"/>
          </w:rPr>
          <w:fldChar w:fldCharType="end"/>
        </w:r>
      </w:p>
    </w:sdtContent>
  </w:sdt>
  <w:p w:rsidR="006A6239" w:rsidRPr="00615E90" w:rsidRDefault="00692CEA" w:rsidP="006A6239">
    <w:pPr>
      <w:pStyle w:val="Subtitle"/>
      <w:ind w:right="360"/>
      <w:rPr>
        <w:color w:val="323E4F" w:themeColor="text2"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EA" w:rsidRDefault="00692CEA">
      <w:pPr>
        <w:spacing w:after="0" w:line="240" w:lineRule="auto"/>
      </w:pPr>
      <w:r>
        <w:separator/>
      </w:r>
    </w:p>
  </w:footnote>
  <w:footnote w:type="continuationSeparator" w:id="0">
    <w:p w:rsidR="00692CEA" w:rsidRDefault="0069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CC" w:rsidRPr="00FF3D2E" w:rsidRDefault="00692CEA" w:rsidP="00390126">
    <w:pPr>
      <w:jc w:val="center"/>
      <w:rPr>
        <w:rFonts w:ascii="Cambria" w:hAnsi="Cambria"/>
        <w:color w:val="1479FF"/>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239" w:rsidRDefault="00E60E88">
    <w:pPr>
      <w:pStyle w:val="Header"/>
    </w:pPr>
    <w:r>
      <w:rPr>
        <w:noProof/>
      </w:rPr>
      <w:drawing>
        <wp:inline distT="0" distB="0" distL="0" distR="0" wp14:anchorId="792C8F4D" wp14:editId="3D826845">
          <wp:extent cx="2211315" cy="552893"/>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5991" cy="5540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88"/>
    <w:rsid w:val="00001AB4"/>
    <w:rsid w:val="00041330"/>
    <w:rsid w:val="00056D24"/>
    <w:rsid w:val="000B02DD"/>
    <w:rsid w:val="00231C66"/>
    <w:rsid w:val="002345F0"/>
    <w:rsid w:val="002B2688"/>
    <w:rsid w:val="003501F0"/>
    <w:rsid w:val="00374B2A"/>
    <w:rsid w:val="0039378C"/>
    <w:rsid w:val="003C6F68"/>
    <w:rsid w:val="0046283E"/>
    <w:rsid w:val="004633CB"/>
    <w:rsid w:val="00476C08"/>
    <w:rsid w:val="004C5A65"/>
    <w:rsid w:val="004D7BBD"/>
    <w:rsid w:val="00517A27"/>
    <w:rsid w:val="00534D90"/>
    <w:rsid w:val="00551141"/>
    <w:rsid w:val="005B15B3"/>
    <w:rsid w:val="005B2037"/>
    <w:rsid w:val="005C7247"/>
    <w:rsid w:val="00657572"/>
    <w:rsid w:val="00671DC6"/>
    <w:rsid w:val="0067728B"/>
    <w:rsid w:val="00692CEA"/>
    <w:rsid w:val="006B56EC"/>
    <w:rsid w:val="0071612E"/>
    <w:rsid w:val="007347E2"/>
    <w:rsid w:val="00792403"/>
    <w:rsid w:val="00796AEA"/>
    <w:rsid w:val="00810844"/>
    <w:rsid w:val="0081110B"/>
    <w:rsid w:val="00843B38"/>
    <w:rsid w:val="008552FF"/>
    <w:rsid w:val="008610AB"/>
    <w:rsid w:val="008623C0"/>
    <w:rsid w:val="008738F0"/>
    <w:rsid w:val="0088025F"/>
    <w:rsid w:val="00895328"/>
    <w:rsid w:val="0090574C"/>
    <w:rsid w:val="00957859"/>
    <w:rsid w:val="00961D33"/>
    <w:rsid w:val="00970D08"/>
    <w:rsid w:val="009754B5"/>
    <w:rsid w:val="00982467"/>
    <w:rsid w:val="009D396A"/>
    <w:rsid w:val="00A77B1A"/>
    <w:rsid w:val="00A8413E"/>
    <w:rsid w:val="00A93694"/>
    <w:rsid w:val="00AA504F"/>
    <w:rsid w:val="00B12541"/>
    <w:rsid w:val="00B412D8"/>
    <w:rsid w:val="00B6250F"/>
    <w:rsid w:val="00B62B8B"/>
    <w:rsid w:val="00B70DC7"/>
    <w:rsid w:val="00BC2613"/>
    <w:rsid w:val="00C21B1D"/>
    <w:rsid w:val="00C32B47"/>
    <w:rsid w:val="00C42DE2"/>
    <w:rsid w:val="00C47272"/>
    <w:rsid w:val="00C52438"/>
    <w:rsid w:val="00C9471B"/>
    <w:rsid w:val="00C950C3"/>
    <w:rsid w:val="00CB5D39"/>
    <w:rsid w:val="00CC1607"/>
    <w:rsid w:val="00CE7C07"/>
    <w:rsid w:val="00D15366"/>
    <w:rsid w:val="00D57B66"/>
    <w:rsid w:val="00E06BEA"/>
    <w:rsid w:val="00E32DF6"/>
    <w:rsid w:val="00E4166D"/>
    <w:rsid w:val="00E46CF4"/>
    <w:rsid w:val="00E60E88"/>
    <w:rsid w:val="00E7165C"/>
    <w:rsid w:val="00E75052"/>
    <w:rsid w:val="00E87A33"/>
    <w:rsid w:val="00EB6024"/>
    <w:rsid w:val="00EC11E9"/>
    <w:rsid w:val="00EC1A71"/>
    <w:rsid w:val="00F1216A"/>
    <w:rsid w:val="00FD6A70"/>
    <w:rsid w:val="00FE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32201-2A02-4FBF-AEA4-BB093BB1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0E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E88"/>
  </w:style>
  <w:style w:type="paragraph" w:styleId="Header">
    <w:name w:val="header"/>
    <w:basedOn w:val="Normal"/>
    <w:link w:val="HeaderChar"/>
    <w:uiPriority w:val="99"/>
    <w:semiHidden/>
    <w:unhideWhenUsed/>
    <w:rsid w:val="00E60E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E88"/>
  </w:style>
  <w:style w:type="paragraph" w:styleId="Subtitle">
    <w:name w:val="Subtitle"/>
    <w:basedOn w:val="Normal"/>
    <w:next w:val="Normal"/>
    <w:link w:val="SubtitleChar"/>
    <w:uiPriority w:val="11"/>
    <w:qFormat/>
    <w:rsid w:val="00E60E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0E88"/>
    <w:rPr>
      <w:rFonts w:eastAsiaTheme="minorEastAsia"/>
      <w:color w:val="5A5A5A" w:themeColor="text1" w:themeTint="A5"/>
      <w:spacing w:val="15"/>
    </w:rPr>
  </w:style>
  <w:style w:type="character" w:styleId="PageNumber">
    <w:name w:val="page number"/>
    <w:rsid w:val="00E6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2</cp:revision>
  <dcterms:created xsi:type="dcterms:W3CDTF">2021-02-01T20:49:00Z</dcterms:created>
  <dcterms:modified xsi:type="dcterms:W3CDTF">2021-02-01T20:59:00Z</dcterms:modified>
</cp:coreProperties>
</file>